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Monthly Treasurer’s Report- September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Prepared by: </w:t>
      </w:r>
      <w:r w:rsidDel="00000000" w:rsidR="00000000" w:rsidRPr="00000000">
        <w:rPr>
          <w:rtl w:val="0"/>
        </w:rPr>
        <w:t xml:space="preserve">Dorothy LeRay</w:t>
        <w:tab/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Date: September 25,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Finances from:</w:t>
      </w:r>
      <w:r w:rsidDel="00000000" w:rsidR="00000000" w:rsidRPr="00000000">
        <w:rPr>
          <w:b w:val="0"/>
          <w:bCs w:val="0"/>
          <w:rtl w:val="0"/>
        </w:rPr>
        <w:t xml:space="preserve"> Ju</w:t>
      </w:r>
      <w:r w:rsidDel="00000000" w:rsidR="00000000" w:rsidRPr="00000000">
        <w:rPr>
          <w:rtl w:val="0"/>
        </w:rPr>
        <w:t xml:space="preserve">ly 1</w:t>
      </w:r>
      <w:r w:rsidDel="00000000" w:rsidR="00000000" w:rsidRPr="00000000">
        <w:rPr>
          <w:b w:val="0"/>
          <w:bCs w:val="0"/>
          <w:rtl w:val="0"/>
        </w:rPr>
        <w:t xml:space="preserve">, 2025-</w:t>
      </w:r>
      <w:r w:rsidDel="00000000" w:rsidR="00000000" w:rsidRPr="00000000">
        <w:rPr>
          <w:rtl w:val="0"/>
        </w:rPr>
        <w:t xml:space="preserve">September 25, 2025</w:t>
      </w:r>
      <w:r w:rsidDel="00000000" w:rsidR="00000000" w:rsidRPr="00000000">
        <w:rPr>
          <w:b w:val="1"/>
          <w:bCs w:val="1"/>
          <w:rtl w:val="0"/>
        </w:rPr>
        <w:tab/>
        <w:tab/>
        <w:t xml:space="preserve">Beginning Balance: $6016.23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INCOME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0"/>
        <w:gridCol w:w="1200"/>
        <w:gridCol w:w="1770"/>
        <w:gridCol w:w="1710"/>
        <w:tblGridChange w:id="0">
          <w:tblGrid>
            <w:gridCol w:w="4680"/>
            <w:gridCol w:w="1200"/>
            <w:gridCol w:w="1770"/>
            <w:gridCol w:w="171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REVENUE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CHECK #/DEBIT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AMOUNT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TOTAL INCOME: $0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EXPENSES</w:t>
      </w:r>
    </w:p>
    <w:tbl>
      <w:tblPr>
        <w:tblStyle w:val="Table2"/>
        <w:tblW w:w="94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0"/>
        <w:gridCol w:w="1350"/>
        <w:gridCol w:w="2055"/>
        <w:gridCol w:w="1335"/>
        <w:tblGridChange w:id="0">
          <w:tblGrid>
            <w:gridCol w:w="4680"/>
            <w:gridCol w:w="1350"/>
            <w:gridCol w:w="2055"/>
            <w:gridCol w:w="133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EXPENDITURES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CHECK #/DEBIT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AMOUNT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              TOTAL EXPENSES: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$</w:t>
      </w:r>
      <w:r w:rsidDel="00000000" w:rsidR="00000000" w:rsidRPr="00000000">
        <w:rPr>
          <w:b w:val="1"/>
          <w:bCs w:val="1"/>
          <w:u w:val="single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u w:val="single"/>
        </w:rPr>
      </w:pPr>
      <w:r w:rsidDel="00000000" w:rsidR="00000000" w:rsidRPr="00000000">
        <w:rPr>
          <w:rtl w:val="0"/>
        </w:rPr>
        <w:t xml:space="preserve">Over/Under: </w:t>
      </w:r>
      <w:r w:rsidDel="00000000" w:rsidR="00000000" w:rsidRPr="00000000">
        <w:rPr>
          <w:u w:val="single"/>
          <w:rtl w:val="0"/>
        </w:rPr>
        <w:t xml:space="preserve">$0</w:t>
      </w:r>
    </w:p>
    <w:p w:rsidR="00000000" w:rsidDel="00000000" w:rsidP="00000000" w:rsidRDefault="00000000" w:rsidRPr="00000000" w14:paraId="0000002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ENDING BALANCE: $6016.23**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/>
      </w:pPr>
      <w:r w:rsidDel="00000000" w:rsidR="00000000" w:rsidRPr="00000000">
        <w:rPr>
          <w:rtl w:val="0"/>
        </w:rPr>
        <w:t xml:space="preserve">SIGNATURE:</w:t>
      </w:r>
      <w:r w:rsidDel="00000000" w:rsidR="00000000" w:rsidRPr="00000000">
        <w:rPr>
          <w:rFonts w:ascii="Lobster" w:cs="Lobster" w:eastAsia="Lobster" w:hAnsi="Lobster"/>
          <w:rtl w:val="0"/>
        </w:rPr>
        <w:t xml:space="preserve">Dorothy LeRay</w:t>
      </w: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2F">
      <w:pPr>
        <w:jc w:val="left"/>
        <w:rPr/>
      </w:pPr>
      <w:r w:rsidDel="00000000" w:rsidR="00000000" w:rsidRPr="00000000">
        <w:rPr>
          <w:rtl w:val="0"/>
        </w:rPr>
        <w:t xml:space="preserve">Title: Treasurer    </w:t>
      </w:r>
    </w:p>
    <w:p w:rsidR="00000000" w:rsidDel="00000000" w:rsidP="00000000" w:rsidRDefault="00000000" w:rsidRPr="00000000" w14:paraId="00000030">
      <w:pPr>
        <w:jc w:val="left"/>
        <w:rPr/>
      </w:pPr>
      <w:r w:rsidDel="00000000" w:rsidR="00000000" w:rsidRPr="00000000">
        <w:rPr>
          <w:rtl w:val="0"/>
        </w:rPr>
        <w:t xml:space="preserve">Date: 09/25/2025</w:t>
      </w:r>
    </w:p>
    <w:p w:rsidR="00000000" w:rsidDel="00000000" w:rsidP="00000000" w:rsidRDefault="00000000" w:rsidRPr="00000000" w14:paraId="00000031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**Notes: </w:t>
      </w:r>
    </w:p>
    <w:p w:rsidR="00000000" w:rsidDel="00000000" w:rsidP="00000000" w:rsidRDefault="00000000" w:rsidRPr="00000000" w14:paraId="00000032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-Does not reflect prior year’s $100 BJ’s Gift Card Donation from Parent and a $54.97 BJ’s return gift card. The two gift cards cannot be converted to cash for deposit.</w:t>
      </w:r>
    </w:p>
    <w:p w:rsidR="00000000" w:rsidDel="00000000" w:rsidP="00000000" w:rsidRDefault="00000000" w:rsidRPr="00000000" w14:paraId="00000033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-The PTA Annual Financial Report for 2024-2025 has been completed and is available reporting a fund balance of $5872.81.</w:t>
      </w:r>
    </w:p>
    <w:p w:rsidR="00000000" w:rsidDel="00000000" w:rsidP="00000000" w:rsidRDefault="00000000" w:rsidRPr="00000000" w14:paraId="00000034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-The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$143.42 difference between $5872.81 and $6016.23 is due to subtracting $151.53 in cash expenses, adding a $7.54 tax cash credit from BJ’s, and further adding a $.57 bank account fee reversal.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tects Daughter">
    <w:embedRegular w:fontKey="{00000000-0000-0000-0000-000000000000}" r:id="rId1" w:subsetted="0"/>
  </w:font>
  <w:font w:name="Lobster">
    <w:embedRegular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>
        <w:rFonts w:ascii="Architects Daughter" w:cs="Architects Daughter" w:eastAsia="Architects Daughter" w:hAnsi="Architects Daughter"/>
        <w:b w:val="1"/>
        <w:bCs w:val="1"/>
        <w:sz w:val="28"/>
        <w:szCs w:val="28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page">
            <wp:posOffset>190500</wp:posOffset>
          </wp:positionV>
          <wp:extent cx="1530985" cy="1181100"/>
          <wp:effectExtent b="0" l="0" r="0" t="0"/>
          <wp:wrapSquare wrapText="bothSides" distB="114300" distT="114300" distL="114300" distR="114300"/>
          <wp:docPr descr="PTAofPS165Q-Logo-Full.gif" id="1" name="image1.gif"/>
          <a:graphic>
            <a:graphicData uri="http://schemas.openxmlformats.org/drawingml/2006/picture">
              <pic:pic>
                <pic:nvPicPr>
                  <pic:cNvPr descr="PTAofPS165Q-Logo-Full.gif"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0985" cy="1181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chitects Daughter" w:cs="Architects Daughter" w:eastAsia="Architects Daughter" w:hAnsi="Architects Daughter"/>
        <w:b w:val="1"/>
        <w:bCs w:val="1"/>
        <w:sz w:val="28"/>
        <w:szCs w:val="28"/>
        <w:rtl w:val="0"/>
      </w:rPr>
      <w:t xml:space="preserve">Parent Teacher Association of P.S. 165Q</w:t>
    </w:r>
  </w:p>
  <w:p w:rsidR="00000000" w:rsidDel="00000000" w:rsidP="00000000" w:rsidRDefault="00000000" w:rsidRPr="00000000" w14:paraId="00000038">
    <w:pPr>
      <w:jc w:val="center"/>
      <w:rPr>
        <w:rFonts w:ascii="Architects Daughter" w:cs="Architects Daughter" w:eastAsia="Architects Daughter" w:hAnsi="Architects Daughter"/>
        <w:sz w:val="24"/>
        <w:szCs w:val="24"/>
      </w:rPr>
    </w:pPr>
    <w:r w:rsidDel="00000000" w:rsidR="00000000" w:rsidRPr="00000000">
      <w:rPr>
        <w:rFonts w:ascii="Architects Daughter" w:cs="Architects Daughter" w:eastAsia="Architects Daughter" w:hAnsi="Architects Daughter"/>
        <w:sz w:val="24"/>
        <w:szCs w:val="24"/>
        <w:rtl w:val="0"/>
      </w:rPr>
      <w:t xml:space="preserve">Monthly Treasurer’s Report</w:t>
    </w:r>
  </w:p>
  <w:p w:rsidR="00000000" w:rsidDel="00000000" w:rsidP="00000000" w:rsidRDefault="00000000" w:rsidRPr="00000000" w14:paraId="00000039">
    <w:pPr>
      <w:rPr>
        <w:rFonts w:ascii="Architects Daughter" w:cs="Architects Daughter" w:eastAsia="Architects Daughter" w:hAnsi="Architects Daughter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jc w:val="center"/>
      <w:rPr>
        <w:rFonts w:ascii="Architects Daughter" w:cs="Architects Daughter" w:eastAsia="Architects Daughter" w:hAnsi="Architects Daughter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Lobster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